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675"/>
        <w:tblGridChange w:id="0">
          <w:tblGrid>
            <w:gridCol w:w="1695"/>
            <w:gridCol w:w="9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words are there in the English language?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0e101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Parts of Speech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are categories for words and the roles they play in a sentence.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There are eight different parts of speech.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Noun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Pronoun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Verb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Adjective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Adverb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Preposition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Conjunction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Interjection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Each part of speech develops a sentence in its own particular way.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The role that it plays to develop that sentence helps determine where that word can be placed and how it will impact the sentence.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Words can also alter their part of speech depending on where they are located in the sentence.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Why is it important to know the parts of speech?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</w:tc>
      </w:tr>
    </w:tbl>
    <w:p w:rsidR="00000000" w:rsidDel="00000000" w:rsidP="00000000" w:rsidRDefault="00000000" w:rsidRPr="00000000" w14:paraId="00000023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Property of www.mrgoodiegrammar.com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-1080" w:right="-720" w:firstLine="0"/>
      <w:rPr/>
    </w:pPr>
    <w:r w:rsidDel="00000000" w:rsidR="00000000" w:rsidRPr="00000000">
      <w:rPr/>
      <w:drawing>
        <wp:inline distB="114300" distT="114300" distL="114300" distR="114300">
          <wp:extent cx="900113" cy="900113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Name:_</w:t>
    </w:r>
    <w:r w:rsidDel="00000000" w:rsidR="00000000" w:rsidRPr="00000000">
      <w:rPr>
        <w:rtl w:val="0"/>
      </w:rPr>
      <w:t xml:space="preserve">____________________________          </w:t>
    </w:r>
    <w:r w:rsidDel="00000000" w:rsidR="00000000" w:rsidRPr="00000000">
      <w:rPr>
        <w:b w:val="1"/>
        <w:rtl w:val="0"/>
      </w:rPr>
      <w:t xml:space="preserve"> Regular Episode</w:t>
    </w:r>
    <w:r w:rsidDel="00000000" w:rsidR="00000000" w:rsidRPr="00000000">
      <w:rPr>
        <w:rtl w:val="0"/>
      </w:rPr>
      <w:t xml:space="preserve">: 1    </w:t>
    </w:r>
    <w:r w:rsidDel="00000000" w:rsidR="00000000" w:rsidRPr="00000000">
      <w:rPr>
        <w:b w:val="1"/>
        <w:rtl w:val="0"/>
      </w:rPr>
      <w:t xml:space="preserve"> Topic</w:t>
    </w:r>
    <w:r w:rsidDel="00000000" w:rsidR="00000000" w:rsidRPr="00000000">
      <w:rPr>
        <w:rtl w:val="0"/>
      </w:rPr>
      <w:t xml:space="preserve">: Parts of Speech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